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sz w:val="40"/>
          <w:szCs w:val="40"/>
        </w:rPr>
      </w:pPr>
      <w:r w:rsidDel="00000000" w:rsidR="00000000" w:rsidRPr="00000000">
        <w:rPr>
          <w:sz w:val="40"/>
          <w:szCs w:val="40"/>
          <w:rtl w:val="0"/>
        </w:rPr>
        <w:t xml:space="preserve">Student Athletes and School Choice</w:t>
      </w:r>
    </w:p>
    <w:p w:rsidR="00000000" w:rsidDel="00000000" w:rsidP="00000000" w:rsidRDefault="00000000" w:rsidRPr="00000000" w14:paraId="00000002">
      <w:pPr>
        <w:jc w:val="center"/>
        <w:rPr>
          <w:sz w:val="40"/>
          <w:szCs w:val="40"/>
        </w:rPr>
      </w:pPr>
      <w:r w:rsidDel="00000000" w:rsidR="00000000" w:rsidRPr="00000000">
        <w:rPr>
          <w:rtl w:val="0"/>
        </w:rPr>
      </w:r>
    </w:p>
    <w:p w:rsidR="00000000" w:rsidDel="00000000" w:rsidP="00000000" w:rsidRDefault="00000000" w:rsidRPr="00000000" w14:paraId="00000003">
      <w:pPr>
        <w:spacing w:after="225" w:line="240" w:lineRule="auto"/>
        <w:ind w:left="150" w:firstLine="0"/>
        <w:rPr>
          <w:rFonts w:ascii="Arial" w:cs="Arial" w:eastAsia="Arial" w:hAnsi="Arial"/>
          <w:color w:val="000000"/>
          <w:sz w:val="27"/>
          <w:szCs w:val="27"/>
        </w:rPr>
      </w:pPr>
      <w:r w:rsidDel="00000000" w:rsidR="00000000" w:rsidRPr="00000000">
        <w:rPr>
          <w:rFonts w:ascii="Arial" w:cs="Arial" w:eastAsia="Arial" w:hAnsi="Arial"/>
          <w:b w:val="1"/>
          <w:color w:val="000000"/>
          <w:sz w:val="27"/>
          <w:szCs w:val="27"/>
          <w:rtl w:val="0"/>
        </w:rPr>
        <w:t xml:space="preserve">Choice and Student Athletes</w:t>
      </w:r>
      <w:r w:rsidDel="00000000" w:rsidR="00000000" w:rsidRPr="00000000">
        <w:rPr>
          <w:rtl w:val="0"/>
        </w:rPr>
      </w:r>
    </w:p>
    <w:p w:rsidR="00000000" w:rsidDel="00000000" w:rsidP="00000000" w:rsidRDefault="00000000" w:rsidRPr="00000000" w14:paraId="00000004">
      <w:pPr>
        <w:spacing w:after="225" w:line="240" w:lineRule="auto"/>
        <w:ind w:left="150" w:firstLine="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Q: Can a choice district encourage student athletes to apply to their program?</w:t>
      </w:r>
    </w:p>
    <w:p w:rsidR="00000000" w:rsidDel="00000000" w:rsidP="00000000" w:rsidRDefault="00000000" w:rsidRPr="00000000" w14:paraId="00000005">
      <w:pPr>
        <w:spacing w:after="225" w:line="240" w:lineRule="auto"/>
        <w:ind w:left="150" w:firstLine="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A: No, a choice district cannot recruit or encourage student enrollment based on athletic ability. Similarly, students cannot participate in a choice program for athletic reasons. The NJSIAA 30-day transfer rule for varsity athletes applies to choice students as well as to other students attending NJSIAA-member districts. Visit </w:t>
      </w:r>
      <w:hyperlink r:id="rId7">
        <w:r w:rsidDel="00000000" w:rsidR="00000000" w:rsidRPr="00000000">
          <w:rPr>
            <w:rFonts w:ascii="Arial" w:cs="Arial" w:eastAsia="Arial" w:hAnsi="Arial"/>
            <w:color w:val="0000aa"/>
            <w:sz w:val="27"/>
            <w:szCs w:val="27"/>
            <w:u w:val="single"/>
            <w:rtl w:val="0"/>
          </w:rPr>
          <w:t xml:space="preserve">http://njsiaa.org/ </w:t>
        </w:r>
      </w:hyperlink>
      <w:r w:rsidDel="00000000" w:rsidR="00000000" w:rsidRPr="00000000">
        <w:rPr>
          <w:rFonts w:ascii="Arial" w:cs="Arial" w:eastAsia="Arial" w:hAnsi="Arial"/>
          <w:color w:val="000000"/>
          <w:sz w:val="27"/>
          <w:szCs w:val="27"/>
          <w:rtl w:val="0"/>
        </w:rPr>
        <w:t xml:space="preserve">to find their Constitution, Rules and Regulations.</w:t>
      </w:r>
    </w:p>
    <w:p w:rsidR="00000000" w:rsidDel="00000000" w:rsidP="00000000" w:rsidRDefault="00000000" w:rsidRPr="00000000" w14:paraId="00000006">
      <w:pPr>
        <w:spacing w:after="225" w:line="240" w:lineRule="auto"/>
        <w:ind w:left="150" w:firstLine="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Q: What are the policies for student varsity athletes who transfer from their resident school to a choice school?</w:t>
      </w:r>
    </w:p>
    <w:p w:rsidR="00000000" w:rsidDel="00000000" w:rsidP="00000000" w:rsidRDefault="00000000" w:rsidRPr="00000000" w14:paraId="00000007">
      <w:pPr>
        <w:spacing w:after="225" w:line="240" w:lineRule="auto"/>
        <w:ind w:left="150" w:firstLine="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A: The transfer policy of the New Jersey State Interscholastic Athletic Association (NJSIAA) (</w:t>
      </w:r>
      <w:hyperlink r:id="rId8">
        <w:r w:rsidDel="00000000" w:rsidR="00000000" w:rsidRPr="00000000">
          <w:rPr>
            <w:rFonts w:ascii="Arial" w:cs="Arial" w:eastAsia="Arial" w:hAnsi="Arial"/>
            <w:color w:val="0000aa"/>
            <w:sz w:val="27"/>
            <w:szCs w:val="27"/>
            <w:u w:val="single"/>
            <w:rtl w:val="0"/>
          </w:rPr>
          <w:t xml:space="preserve">http://www.njsiaa.org/</w:t>
        </w:r>
      </w:hyperlink>
      <w:r w:rsidDel="00000000" w:rsidR="00000000" w:rsidRPr="00000000">
        <w:rPr>
          <w:rFonts w:ascii="Arial" w:cs="Arial" w:eastAsia="Arial" w:hAnsi="Arial"/>
          <w:color w:val="000000"/>
          <w:sz w:val="27"/>
          <w:szCs w:val="27"/>
          <w:rtl w:val="0"/>
        </w:rPr>
        <w:t xml:space="preserve"> and click on "Constitution") is to discourage the enrollment of students in the choice program for athletic advantage. The NJSIAA has a student transfer policy that applies to students who transfer from one school to another for reasons other than a change of address. The chart below the NJSIAA transfer policy explains how it is applied to choice students.</w:t>
        <w:br w:type="textWrapping"/>
        <w:t xml:space="preserve">NJSIAA Transfer Policy:</w:t>
      </w:r>
    </w:p>
    <w:p w:rsidR="00000000" w:rsidDel="00000000" w:rsidP="00000000" w:rsidRDefault="00000000" w:rsidRPr="00000000" w14:paraId="00000008">
      <w:pPr>
        <w:numPr>
          <w:ilvl w:val="0"/>
          <w:numId w:val="1"/>
        </w:numPr>
        <w:spacing w:after="0" w:before="150" w:line="240" w:lineRule="auto"/>
        <w:ind w:left="720" w:hanging="36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A student-athlete transferring from one secondary school to another, without a bona fide change of residence by that student's parent or guardian, shall be ineligible to participate for a period of thirty (30) calendar days or one half of the maximum number of games allowed in the sport by NJSIAA rules (the ineligibility period) from the beginning of the regular schedule, whichever is less, in any sport in which the student has previously participated at the varsity level.</w:t>
      </w:r>
    </w:p>
    <w:p w:rsidR="00000000" w:rsidDel="00000000" w:rsidP="00000000" w:rsidRDefault="00000000" w:rsidRPr="00000000" w14:paraId="00000009">
      <w:pPr>
        <w:numPr>
          <w:ilvl w:val="0"/>
          <w:numId w:val="1"/>
        </w:numPr>
        <w:spacing w:after="0" w:before="150" w:line="240" w:lineRule="auto"/>
        <w:ind w:left="720" w:hanging="36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To prevent possible recruitment or transfer for athletic advantage, a Transfer Form must be executed by the two involved schools and filed with the NJSIAA before any interscholastic participation.</w:t>
      </w:r>
    </w:p>
    <w:p w:rsidR="00000000" w:rsidDel="00000000" w:rsidP="00000000" w:rsidRDefault="00000000" w:rsidRPr="00000000" w14:paraId="0000000A">
      <w:pPr>
        <w:numPr>
          <w:ilvl w:val="0"/>
          <w:numId w:val="1"/>
        </w:numPr>
        <w:spacing w:after="0" w:before="150" w:line="240" w:lineRule="auto"/>
        <w:ind w:left="720" w:hanging="36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A student who transfers during the second half of a sports season, regardless of whether the transfer was the result of a bona fide change of residence, shall be ineligible to participate in any post-season championship competition at the new school. The Executive Director of the NJSIAA will annually publish the dates that will define the halfway point of each sports season.</w:t>
      </w:r>
    </w:p>
    <w:p w:rsidR="00000000" w:rsidDel="00000000" w:rsidP="00000000" w:rsidRDefault="00000000" w:rsidRPr="00000000" w14:paraId="0000000B">
      <w:pPr>
        <w:numPr>
          <w:ilvl w:val="0"/>
          <w:numId w:val="1"/>
        </w:numPr>
        <w:spacing w:after="280" w:before="150" w:line="240" w:lineRule="auto"/>
        <w:ind w:left="720" w:hanging="36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Any student who is subject to the 30-day period of ineligibility may nevertheless participate in interscholastic scrimmages at the discretion of the school.</w:t>
      </w:r>
    </w:p>
    <w:tbl>
      <w:tblPr>
        <w:tblStyle w:val="Table1"/>
        <w:tblW w:w="9344.0" w:type="dxa"/>
        <w:jc w:val="left"/>
        <w:tblInd w:w="0.0" w:type="dxa"/>
        <w:tblBorders>
          <w:top w:color="000000" w:space="0" w:sz="6" w:val="single"/>
          <w:left w:color="000000" w:space="0" w:sz="6" w:val="single"/>
          <w:bottom w:color="000000" w:space="0" w:sz="6" w:val="single"/>
          <w:right w:color="000000" w:space="0" w:sz="6" w:val="single"/>
        </w:tblBorders>
        <w:tblLayout w:type="fixed"/>
        <w:tblLook w:val="0400"/>
      </w:tblPr>
      <w:tblGrid>
        <w:gridCol w:w="5474"/>
        <w:gridCol w:w="3870"/>
        <w:tblGridChange w:id="0">
          <w:tblGrid>
            <w:gridCol w:w="5474"/>
            <w:gridCol w:w="3870"/>
          </w:tblGrid>
        </w:tblGridChange>
      </w:tblGrid>
      <w:tr>
        <w:trPr>
          <w:cantSplit w:val="0"/>
          <w:tblHeader w:val="0"/>
        </w:trPr>
        <w:tc>
          <w:tcPr>
            <w:tcBorders>
              <w:top w:color="000000" w:space="0" w:sz="6" w:val="single"/>
              <w:left w:color="000000" w:space="0" w:sz="6" w:val="single"/>
              <w:bottom w:color="000000" w:space="0" w:sz="6" w:val="single"/>
              <w:right w:color="000000" w:space="0" w:sz="6" w:val="single"/>
            </w:tcBorders>
            <w:tcMar>
              <w:top w:w="60.0" w:type="dxa"/>
              <w:left w:w="60.0" w:type="dxa"/>
              <w:bottom w:w="60.0" w:type="dxa"/>
              <w:right w:w="60.0" w:type="dxa"/>
            </w:tcMar>
          </w:tcPr>
          <w:p w:rsidR="00000000" w:rsidDel="00000000" w:rsidP="00000000" w:rsidRDefault="00000000" w:rsidRPr="00000000" w14:paraId="0000000C">
            <w:pPr>
              <w:spacing w:after="0" w:line="240" w:lineRule="auto"/>
              <w:rPr>
                <w:rFonts w:ascii="Arial" w:cs="Arial" w:eastAsia="Arial" w:hAnsi="Arial"/>
                <w:color w:val="000000"/>
                <w:sz w:val="27"/>
                <w:szCs w:val="27"/>
              </w:rPr>
            </w:pPr>
            <w:r w:rsidDel="00000000" w:rsidR="00000000" w:rsidRPr="00000000">
              <w:rPr>
                <w:rFonts w:ascii="Arial" w:cs="Arial" w:eastAsia="Arial" w:hAnsi="Arial"/>
                <w:b w:val="1"/>
                <w:color w:val="000000"/>
                <w:sz w:val="27"/>
                <w:szCs w:val="27"/>
                <w:rtl w:val="0"/>
              </w:rPr>
              <w:t xml:space="preserve">Question</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60.0" w:type="dxa"/>
              <w:left w:w="60.0" w:type="dxa"/>
              <w:bottom w:w="60.0" w:type="dxa"/>
              <w:right w:w="60.0" w:type="dxa"/>
            </w:tcMar>
          </w:tcPr>
          <w:p w:rsidR="00000000" w:rsidDel="00000000" w:rsidP="00000000" w:rsidRDefault="00000000" w:rsidRPr="00000000" w14:paraId="0000000D">
            <w:pPr>
              <w:spacing w:after="0" w:line="240" w:lineRule="auto"/>
              <w:rPr>
                <w:rFonts w:ascii="Arial" w:cs="Arial" w:eastAsia="Arial" w:hAnsi="Arial"/>
                <w:color w:val="000000"/>
                <w:sz w:val="27"/>
                <w:szCs w:val="27"/>
              </w:rPr>
            </w:pPr>
            <w:r w:rsidDel="00000000" w:rsidR="00000000" w:rsidRPr="00000000">
              <w:rPr>
                <w:rFonts w:ascii="Arial" w:cs="Arial" w:eastAsia="Arial" w:hAnsi="Arial"/>
                <w:b w:val="1"/>
                <w:color w:val="000000"/>
                <w:sz w:val="27"/>
                <w:szCs w:val="27"/>
                <w:rtl w:val="0"/>
              </w:rPr>
              <w:t xml:space="preserve">NJSIAA Application of Transfer Rule</w:t>
            </w: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tcMar>
              <w:top w:w="60.0" w:type="dxa"/>
              <w:left w:w="60.0" w:type="dxa"/>
              <w:bottom w:w="60.0" w:type="dxa"/>
              <w:right w:w="60.0" w:type="dxa"/>
            </w:tcMar>
          </w:tcPr>
          <w:p w:rsidR="00000000" w:rsidDel="00000000" w:rsidP="00000000" w:rsidRDefault="00000000" w:rsidRPr="00000000" w14:paraId="0000000E">
            <w:pPr>
              <w:numPr>
                <w:ilvl w:val="0"/>
                <w:numId w:val="2"/>
              </w:numPr>
              <w:spacing w:before="150" w:line="240" w:lineRule="auto"/>
              <w:ind w:left="720" w:hanging="36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How do we handle a 9th grader who enrolled in a Choice school straight out of 8th grade?</w:t>
            </w:r>
          </w:p>
        </w:tc>
        <w:tc>
          <w:tcPr>
            <w:tcBorders>
              <w:top w:color="000000" w:space="0" w:sz="6" w:val="single"/>
              <w:left w:color="000000" w:space="0" w:sz="6" w:val="single"/>
              <w:bottom w:color="000000" w:space="0" w:sz="6" w:val="single"/>
              <w:right w:color="000000" w:space="0" w:sz="6" w:val="single"/>
            </w:tcBorders>
            <w:tcMar>
              <w:top w:w="60.0" w:type="dxa"/>
              <w:left w:w="60.0" w:type="dxa"/>
              <w:bottom w:w="60.0" w:type="dxa"/>
              <w:right w:w="60.0" w:type="dxa"/>
            </w:tcMar>
          </w:tcPr>
          <w:p w:rsidR="00000000" w:rsidDel="00000000" w:rsidP="00000000" w:rsidRDefault="00000000" w:rsidRPr="00000000" w14:paraId="0000000F">
            <w:pPr>
              <w:spacing w:after="225" w:line="240" w:lineRule="auto"/>
              <w:ind w:left="150" w:firstLine="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Considered an initial enrollment; </w:t>
            </w:r>
            <w:r w:rsidDel="00000000" w:rsidR="00000000" w:rsidRPr="00000000">
              <w:rPr>
                <w:rFonts w:ascii="Arial" w:cs="Arial" w:eastAsia="Arial" w:hAnsi="Arial"/>
                <w:color w:val="000000"/>
                <w:sz w:val="27"/>
                <w:szCs w:val="27"/>
                <w:u w:val="single"/>
                <w:rtl w:val="0"/>
              </w:rPr>
              <w:t xml:space="preserve">not a transfer</w:t>
            </w:r>
            <w:r w:rsidDel="00000000" w:rsidR="00000000" w:rsidRPr="00000000">
              <w:rPr>
                <w:rtl w:val="0"/>
              </w:rPr>
            </w:r>
          </w:p>
        </w:tc>
      </w:tr>
      <w:tr>
        <w:trPr>
          <w:cantSplit w:val="0"/>
          <w:tblHeader w:val="0"/>
        </w:trPr>
        <w:tc>
          <w:tcPr>
            <w:tcBorders>
              <w:top w:color="000000" w:space="0" w:sz="6" w:val="single"/>
              <w:left w:color="000000" w:space="0" w:sz="6" w:val="single"/>
              <w:bottom w:color="000000" w:space="0" w:sz="6" w:val="single"/>
              <w:right w:color="000000" w:space="0" w:sz="6" w:val="single"/>
            </w:tcBorders>
            <w:tcMar>
              <w:top w:w="60.0" w:type="dxa"/>
              <w:left w:w="60.0" w:type="dxa"/>
              <w:bottom w:w="60.0" w:type="dxa"/>
              <w:right w:w="60.0" w:type="dxa"/>
            </w:tcMar>
          </w:tcPr>
          <w:p w:rsidR="00000000" w:rsidDel="00000000" w:rsidP="00000000" w:rsidRDefault="00000000" w:rsidRPr="00000000" w14:paraId="00000010">
            <w:pPr>
              <w:numPr>
                <w:ilvl w:val="0"/>
                <w:numId w:val="3"/>
              </w:numPr>
              <w:spacing w:before="150" w:line="240" w:lineRule="auto"/>
              <w:ind w:left="720" w:hanging="36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What do we do with a Choice student who decides to transfer out of his/her Choice school </w:t>
            </w:r>
            <w:r w:rsidDel="00000000" w:rsidR="00000000" w:rsidRPr="00000000">
              <w:rPr>
                <w:rFonts w:ascii="Arial" w:cs="Arial" w:eastAsia="Arial" w:hAnsi="Arial"/>
                <w:i w:val="1"/>
                <w:color w:val="000000"/>
                <w:sz w:val="27"/>
                <w:szCs w:val="27"/>
                <w:rtl w:val="0"/>
              </w:rPr>
              <w:t xml:space="preserve">after the start of the school year </w:t>
            </w:r>
            <w:r w:rsidDel="00000000" w:rsidR="00000000" w:rsidRPr="00000000">
              <w:rPr>
                <w:rFonts w:ascii="Arial" w:cs="Arial" w:eastAsia="Arial" w:hAnsi="Arial"/>
                <w:color w:val="000000"/>
                <w:sz w:val="27"/>
                <w:szCs w:val="27"/>
                <w:rtl w:val="0"/>
              </w:rPr>
              <w:t xml:space="preserve">to enroll in 9th grade in any other NJSIAA member school, resident school or otherwise?</w:t>
            </w:r>
          </w:p>
        </w:tc>
        <w:tc>
          <w:tcPr>
            <w:tcBorders>
              <w:top w:color="000000" w:space="0" w:sz="6" w:val="single"/>
              <w:left w:color="000000" w:space="0" w:sz="6" w:val="single"/>
              <w:bottom w:color="000000" w:space="0" w:sz="6" w:val="single"/>
              <w:right w:color="000000" w:space="0" w:sz="6" w:val="single"/>
            </w:tcBorders>
            <w:tcMar>
              <w:top w:w="60.0" w:type="dxa"/>
              <w:left w:w="60.0" w:type="dxa"/>
              <w:bottom w:w="60.0" w:type="dxa"/>
              <w:right w:w="60.0" w:type="dxa"/>
            </w:tcMar>
          </w:tcPr>
          <w:p w:rsidR="00000000" w:rsidDel="00000000" w:rsidP="00000000" w:rsidRDefault="00000000" w:rsidRPr="00000000" w14:paraId="00000011">
            <w:pPr>
              <w:spacing w:after="225" w:line="240" w:lineRule="auto"/>
              <w:ind w:left="150" w:firstLine="0"/>
              <w:rPr>
                <w:rFonts w:ascii="Arial" w:cs="Arial" w:eastAsia="Arial" w:hAnsi="Arial"/>
                <w:color w:val="000000"/>
                <w:sz w:val="27"/>
                <w:szCs w:val="27"/>
              </w:rPr>
            </w:pPr>
            <w:r w:rsidDel="00000000" w:rsidR="00000000" w:rsidRPr="00000000">
              <w:rPr>
                <w:rFonts w:ascii="Arial" w:cs="Arial" w:eastAsia="Arial" w:hAnsi="Arial"/>
                <w:color w:val="000000"/>
                <w:sz w:val="27"/>
                <w:szCs w:val="27"/>
                <w:rtl w:val="0"/>
              </w:rPr>
              <w:t xml:space="preserve">This is a transfer and student is subject to 30 day sit rule</w:t>
            </w:r>
            <w:r w:rsidDel="00000000" w:rsidR="00000000" w:rsidRPr="00000000">
              <w:rPr>
                <w:rFonts w:ascii="Arial" w:cs="Arial" w:eastAsia="Arial" w:hAnsi="Arial"/>
                <w:sz w:val="27"/>
                <w:szCs w:val="27"/>
                <w:rtl w:val="0"/>
              </w:rPr>
              <w:t xml:space="preserve">.</w:t>
            </w:r>
            <w:r w:rsidDel="00000000" w:rsidR="00000000" w:rsidRPr="00000000">
              <w:rPr>
                <w:rtl w:val="0"/>
              </w:rPr>
            </w:r>
          </w:p>
        </w:tc>
      </w:tr>
    </w:tbl>
    <w:p w:rsidR="00000000" w:rsidDel="00000000" w:rsidP="00000000" w:rsidRDefault="00000000" w:rsidRPr="00000000" w14:paraId="00000012">
      <w:pPr>
        <w:jc w:val="center"/>
        <w:rPr>
          <w:sz w:val="40"/>
          <w:szCs w:val="40"/>
        </w:rPr>
      </w:pPr>
      <w:bookmarkStart w:colFirst="0" w:colLast="0" w:name="_heading=h.gjdgxs" w:id="0"/>
      <w:bookmarkEnd w:id="0"/>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Letter"/>
      <w:lvlText w:val="%3."/>
      <w:lvlJc w:val="left"/>
      <w:pPr>
        <w:ind w:left="2160" w:hanging="360"/>
      </w:pPr>
      <w:rPr/>
    </w:lvl>
    <w:lvl w:ilvl="3">
      <w:start w:val="1"/>
      <w:numFmt w:val="lowerLetter"/>
      <w:lvlText w:val="%4."/>
      <w:lvlJc w:val="left"/>
      <w:pPr>
        <w:ind w:left="2880" w:hanging="360"/>
      </w:pPr>
      <w:rPr/>
    </w:lvl>
    <w:lvl w:ilvl="4">
      <w:start w:val="1"/>
      <w:numFmt w:val="lowerLetter"/>
      <w:lvlText w:val="%5."/>
      <w:lvlJc w:val="left"/>
      <w:pPr>
        <w:ind w:left="3600" w:hanging="360"/>
      </w:pPr>
      <w:rPr/>
    </w:lvl>
    <w:lvl w:ilvl="5">
      <w:start w:val="1"/>
      <w:numFmt w:val="lowerLetter"/>
      <w:lvlText w:val="%6."/>
      <w:lvlJc w:val="left"/>
      <w:pPr>
        <w:ind w:left="4320" w:hanging="360"/>
      </w:pPr>
      <w:rPr/>
    </w:lvl>
    <w:lvl w:ilvl="6">
      <w:start w:val="1"/>
      <w:numFmt w:val="lowerLetter"/>
      <w:lvlText w:val="%7."/>
      <w:lvlJc w:val="left"/>
      <w:pPr>
        <w:ind w:left="5040" w:hanging="360"/>
      </w:pPr>
      <w:rPr/>
    </w:lvl>
    <w:lvl w:ilvl="7">
      <w:start w:val="1"/>
      <w:numFmt w:val="lowerLetter"/>
      <w:lvlText w:val="%8."/>
      <w:lvlJc w:val="left"/>
      <w:pPr>
        <w:ind w:left="5760" w:hanging="360"/>
      </w:pPr>
      <w:rPr/>
    </w:lvl>
    <w:lvl w:ilvl="8">
      <w:start w:val="1"/>
      <w:numFmt w:val="lowerLetter"/>
      <w:lvlText w:val="%9."/>
      <w:lvlJc w:val="left"/>
      <w:pPr>
        <w:ind w:left="6480" w:hanging="360"/>
      </w:pPr>
      <w:rPr/>
    </w:lvl>
  </w:abstractNum>
  <w:abstractNum w:abstractNumId="2">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3">
    <w:lvl w:ilvl="0">
      <w:start w:val="2"/>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semiHidden w:val="1"/>
    <w:unhideWhenUsed w:val="1"/>
    <w:rsid w:val="003D53E4"/>
    <w:pPr>
      <w:spacing w:after="100" w:afterAutospacing="1" w:before="100" w:beforeAutospacing="1" w:line="240" w:lineRule="auto"/>
    </w:pPr>
    <w:rPr>
      <w:rFonts w:ascii="Times New Roman" w:cs="Times New Roman" w:eastAsia="Times New Roman" w:hAnsi="Times New Roman"/>
      <w:sz w:val="24"/>
      <w:szCs w:val="24"/>
    </w:rPr>
  </w:style>
  <w:style w:type="character" w:styleId="Strong">
    <w:name w:val="Strong"/>
    <w:basedOn w:val="DefaultParagraphFont"/>
    <w:uiPriority w:val="22"/>
    <w:qFormat w:val="1"/>
    <w:rsid w:val="003D53E4"/>
    <w:rPr>
      <w:b w:val="1"/>
      <w:bCs w:val="1"/>
    </w:rPr>
  </w:style>
  <w:style w:type="character" w:styleId="apple-converted-space" w:customStyle="1">
    <w:name w:val="apple-converted-space"/>
    <w:basedOn w:val="DefaultParagraphFont"/>
    <w:rsid w:val="003D53E4"/>
  </w:style>
  <w:style w:type="character" w:styleId="Hyperlink">
    <w:name w:val="Hyperlink"/>
    <w:basedOn w:val="DefaultParagraphFont"/>
    <w:uiPriority w:val="99"/>
    <w:semiHidden w:val="1"/>
    <w:unhideWhenUsed w:val="1"/>
    <w:rsid w:val="003D53E4"/>
    <w:rPr>
      <w:color w:val="0000ff"/>
      <w:u w:val="single"/>
    </w:rPr>
  </w:style>
  <w:style w:type="character" w:styleId="Emphasis">
    <w:name w:val="Emphasis"/>
    <w:basedOn w:val="DefaultParagraphFont"/>
    <w:uiPriority w:val="20"/>
    <w:qFormat w:val="1"/>
    <w:rsid w:val="003D53E4"/>
    <w:rPr>
      <w:i w:val="1"/>
      <w:iCs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30.0" w:type="dxa"/>
        <w:left w:w="30.0" w:type="dxa"/>
        <w:bottom w:w="30.0" w:type="dxa"/>
        <w:right w:w="3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njsiaa.org/" TargetMode="External"/><Relationship Id="rId8" Type="http://schemas.openxmlformats.org/officeDocument/2006/relationships/hyperlink" Target="http://www.njsia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eGGiT6lNP/o4Hjf/T7mhZ82dVgw==">AMUW2mWLcyGHO8Gxoz1oinY5d42BNZ6yHZK0L16b84y2w29dfmFlLbbUG1wrNGsFrhGwWuXixyFNEpO7ncFmK5JCNDcNXlJLN7aYwlebckphxOZzQ0rqqsLEnu6kxnt1kn62s6rTzGT0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2016-09-19T13:26:00Z</dcterms:created>
  <dc:creator>nisha</dc:creator>
</cp:coreProperties>
</file>